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7B60" w:rsidRPr="002A0208" w:rsidRDefault="002A0208" w:rsidP="00DE1182">
      <w:pPr>
        <w:jc w:val="both"/>
        <w:rPr>
          <w:b/>
          <w:sz w:val="32"/>
        </w:rPr>
      </w:pPr>
      <w:r w:rsidRPr="002A0208">
        <w:rPr>
          <w:b/>
          <w:sz w:val="32"/>
        </w:rPr>
        <w:t xml:space="preserve">Charter of the IGF2019 Working Group on </w:t>
      </w:r>
      <w:r w:rsidR="00CA7B60">
        <w:rPr>
          <w:b/>
          <w:sz w:val="32"/>
        </w:rPr>
        <w:t xml:space="preserve">the </w:t>
      </w:r>
      <w:r w:rsidRPr="002A0208">
        <w:rPr>
          <w:b/>
          <w:sz w:val="32"/>
        </w:rPr>
        <w:t>IGF Workshop</w:t>
      </w:r>
      <w:r w:rsidR="00CA7B60">
        <w:rPr>
          <w:b/>
          <w:sz w:val="32"/>
        </w:rPr>
        <w:t xml:space="preserve"> Proces</w:t>
      </w:r>
      <w:r w:rsidRPr="002A0208">
        <w:rPr>
          <w:b/>
          <w:sz w:val="32"/>
        </w:rPr>
        <w:t>s (WG-WS</w:t>
      </w:r>
      <w:r w:rsidR="00CA7B60">
        <w:rPr>
          <w:b/>
          <w:sz w:val="32"/>
        </w:rPr>
        <w:t>P</w:t>
      </w:r>
      <w:r w:rsidRPr="002A0208">
        <w:rPr>
          <w:b/>
          <w:sz w:val="32"/>
        </w:rPr>
        <w:t>)</w:t>
      </w:r>
    </w:p>
    <w:p w:rsidR="00703548" w:rsidRPr="00701DAD" w:rsidRDefault="00703548" w:rsidP="00DE1182">
      <w:pPr>
        <w:spacing w:after="0"/>
        <w:jc w:val="both"/>
      </w:pPr>
      <w:r w:rsidRPr="00701DAD">
        <w:t>Date of</w:t>
      </w:r>
      <w:r>
        <w:t xml:space="preserve"> WG</w:t>
      </w:r>
      <w:r w:rsidRPr="00701DAD">
        <w:t xml:space="preserve"> review:</w:t>
      </w:r>
    </w:p>
    <w:p w:rsidR="00703548" w:rsidRPr="00701DAD" w:rsidRDefault="00703548" w:rsidP="00DE1182">
      <w:pPr>
        <w:spacing w:after="0"/>
        <w:jc w:val="both"/>
      </w:pPr>
      <w:r w:rsidRPr="00701DAD">
        <w:t xml:space="preserve">Date of </w:t>
      </w:r>
      <w:r>
        <w:t xml:space="preserve">WG </w:t>
      </w:r>
      <w:r w:rsidRPr="00701DAD">
        <w:t>adoption:</w:t>
      </w:r>
    </w:p>
    <w:p w:rsidR="002A0208" w:rsidRPr="00701DAD" w:rsidRDefault="002A0208" w:rsidP="00DE1182">
      <w:pPr>
        <w:spacing w:after="0"/>
        <w:jc w:val="both"/>
      </w:pPr>
      <w:r w:rsidRPr="00701DAD">
        <w:t>Date of</w:t>
      </w:r>
      <w:r w:rsidR="00703548">
        <w:t xml:space="preserve"> MAG</w:t>
      </w:r>
      <w:r w:rsidRPr="00701DAD">
        <w:t xml:space="preserve"> review:</w:t>
      </w:r>
    </w:p>
    <w:p w:rsidR="002A0208" w:rsidRDefault="002A0208" w:rsidP="00DE1182">
      <w:pPr>
        <w:spacing w:after="0"/>
        <w:jc w:val="both"/>
      </w:pPr>
      <w:r w:rsidRPr="00701DAD">
        <w:t xml:space="preserve">Date of </w:t>
      </w:r>
      <w:r w:rsidR="00703548">
        <w:t xml:space="preserve">MAG </w:t>
      </w:r>
      <w:r w:rsidRPr="00701DAD">
        <w:t>adoption:</w:t>
      </w:r>
    </w:p>
    <w:p w:rsidR="0070789E" w:rsidRPr="00701DAD" w:rsidRDefault="0070789E" w:rsidP="00DE1182">
      <w:pPr>
        <w:spacing w:after="0"/>
        <w:jc w:val="both"/>
      </w:pPr>
    </w:p>
    <w:p w:rsidR="002A0208" w:rsidRDefault="002A0208" w:rsidP="00DE1182">
      <w:pPr>
        <w:spacing w:after="0"/>
        <w:jc w:val="both"/>
      </w:pPr>
    </w:p>
    <w:p w:rsidR="002A0208" w:rsidRPr="00701DAD" w:rsidRDefault="002A0208" w:rsidP="00DE1182">
      <w:pPr>
        <w:pStyle w:val="Listenabsatz"/>
        <w:numPr>
          <w:ilvl w:val="0"/>
          <w:numId w:val="1"/>
        </w:numPr>
        <w:spacing w:after="0"/>
        <w:jc w:val="both"/>
        <w:rPr>
          <w:sz w:val="28"/>
        </w:rPr>
      </w:pPr>
      <w:r w:rsidRPr="002A0208">
        <w:rPr>
          <w:b/>
          <w:sz w:val="28"/>
        </w:rPr>
        <w:t>Introduction and Purpose</w:t>
      </w:r>
    </w:p>
    <w:p w:rsidR="00CA18E0" w:rsidRDefault="00CA18E0" w:rsidP="00DE1182">
      <w:pPr>
        <w:spacing w:after="0"/>
        <w:jc w:val="both"/>
      </w:pPr>
      <w:r>
        <w:t>T</w:t>
      </w:r>
      <w:r w:rsidR="00701DAD">
        <w:t>he</w:t>
      </w:r>
      <w:r>
        <w:t xml:space="preserve"> first Internet Governance Forum (IGF) </w:t>
      </w:r>
      <w:proofErr w:type="spellStart"/>
      <w:r>
        <w:t>Multistakeholder</w:t>
      </w:r>
      <w:proofErr w:type="spellEnd"/>
      <w:r>
        <w:t xml:space="preserve"> Advisory Group (M</w:t>
      </w:r>
      <w:r w:rsidR="00701DAD">
        <w:t>AG</w:t>
      </w:r>
      <w:r>
        <w:t>)</w:t>
      </w:r>
      <w:r w:rsidR="00701DAD">
        <w:t xml:space="preserve"> Working Group</w:t>
      </w:r>
      <w:r w:rsidR="00DE1182">
        <w:t xml:space="preserve"> (WG)</w:t>
      </w:r>
      <w:r w:rsidR="00701DAD">
        <w:t xml:space="preserve"> to review the IGF Workshop proposal and evaluation process was established</w:t>
      </w:r>
      <w:r>
        <w:t xml:space="preserve"> in 2014.  The WG has convened each year since</w:t>
      </w:r>
      <w:r w:rsidR="00794FD2">
        <w:t xml:space="preserve"> (under various acronyms)</w:t>
      </w:r>
      <w:r>
        <w:t xml:space="preserve">, with the aim of improving the workshop proposal and evaluation process for </w:t>
      </w:r>
      <w:r w:rsidR="00703548">
        <w:t>the public</w:t>
      </w:r>
      <w:r>
        <w:t xml:space="preserve"> and MAG members alike.</w:t>
      </w:r>
      <w:r w:rsidR="00ED2C85">
        <w:rPr>
          <w:rStyle w:val="Funotenzeichen"/>
        </w:rPr>
        <w:footnoteReference w:id="2"/>
      </w:r>
      <w:r w:rsidR="00ED2C85">
        <w:t xml:space="preserve">  </w:t>
      </w:r>
    </w:p>
    <w:p w:rsidR="00CA18E0" w:rsidRDefault="00CA18E0" w:rsidP="00DE1182">
      <w:pPr>
        <w:spacing w:after="0"/>
        <w:jc w:val="both"/>
      </w:pPr>
    </w:p>
    <w:p w:rsidR="00701DAD" w:rsidRPr="00701DAD" w:rsidRDefault="00CA18E0" w:rsidP="00DE1182">
      <w:pPr>
        <w:spacing w:after="0"/>
        <w:jc w:val="both"/>
      </w:pPr>
      <w:r>
        <w:t xml:space="preserve">The purpose of the Working Group on </w:t>
      </w:r>
      <w:r w:rsidR="00CA7B60">
        <w:t xml:space="preserve">the </w:t>
      </w:r>
      <w:r>
        <w:t>IGF Workshop</w:t>
      </w:r>
      <w:r w:rsidR="00CA7B60">
        <w:t xml:space="preserve"> Proces</w:t>
      </w:r>
      <w:r>
        <w:t>s (WG-WS</w:t>
      </w:r>
      <w:r w:rsidR="00CA7B60">
        <w:t>P</w:t>
      </w:r>
      <w:r>
        <w:t xml:space="preserve">) is to review and, where needed, update the IGF workshop process from the previous year.    </w:t>
      </w:r>
      <w:r w:rsidR="00701DAD">
        <w:t xml:space="preserve">  </w:t>
      </w:r>
    </w:p>
    <w:p w:rsidR="00701DAD" w:rsidRPr="00701DAD" w:rsidRDefault="00701DAD" w:rsidP="00DE1182">
      <w:pPr>
        <w:spacing w:after="0"/>
        <w:jc w:val="both"/>
        <w:rPr>
          <w:sz w:val="28"/>
        </w:rPr>
      </w:pPr>
    </w:p>
    <w:p w:rsidR="002A0208" w:rsidRPr="00703548" w:rsidRDefault="002A0208" w:rsidP="00DE1182">
      <w:pPr>
        <w:pStyle w:val="Listenabsatz"/>
        <w:numPr>
          <w:ilvl w:val="0"/>
          <w:numId w:val="1"/>
        </w:numPr>
        <w:spacing w:after="0"/>
        <w:jc w:val="both"/>
        <w:rPr>
          <w:sz w:val="28"/>
        </w:rPr>
      </w:pPr>
      <w:r w:rsidRPr="002A0208">
        <w:rPr>
          <w:b/>
          <w:sz w:val="28"/>
        </w:rPr>
        <w:t>Scope</w:t>
      </w:r>
    </w:p>
    <w:p w:rsidR="00703548" w:rsidRDefault="00703548" w:rsidP="00DE1182">
      <w:pPr>
        <w:spacing w:after="0"/>
        <w:jc w:val="both"/>
      </w:pPr>
      <w:r>
        <w:t>To fulfill its purpose, the WG-WS</w:t>
      </w:r>
      <w:r w:rsidR="00DE1182">
        <w:t>P</w:t>
      </w:r>
      <w:r>
        <w:t xml:space="preserve"> will undertake the following activities:</w:t>
      </w:r>
    </w:p>
    <w:p w:rsidR="00703548" w:rsidRDefault="00703548" w:rsidP="00DE1182">
      <w:pPr>
        <w:pStyle w:val="Listenabsatz"/>
        <w:numPr>
          <w:ilvl w:val="0"/>
          <w:numId w:val="2"/>
        </w:numPr>
        <w:spacing w:after="0"/>
        <w:jc w:val="both"/>
      </w:pPr>
      <w:r>
        <w:t xml:space="preserve">Review and recommend improvements to the </w:t>
      </w:r>
      <w:r w:rsidR="00CA7B60">
        <w:t>IGF workshop process as needed</w:t>
      </w:r>
      <w:r w:rsidR="00A50CB1">
        <w:t>,</w:t>
      </w:r>
      <w:r w:rsidR="00CA7B60">
        <w:t xml:space="preserve"> </w:t>
      </w:r>
      <w:r w:rsidR="00794FD2">
        <w:t>including:</w:t>
      </w:r>
    </w:p>
    <w:p w:rsidR="00CA7B60" w:rsidRDefault="00DE1182" w:rsidP="00DE1182">
      <w:pPr>
        <w:pStyle w:val="Listenabsatz"/>
        <w:numPr>
          <w:ilvl w:val="1"/>
          <w:numId w:val="2"/>
        </w:numPr>
        <w:spacing w:after="0"/>
        <w:jc w:val="both"/>
      </w:pPr>
      <w:r>
        <w:t xml:space="preserve">the </w:t>
      </w:r>
      <w:r w:rsidR="00CA7B60">
        <w:t>Call for Workshop Session Proposals</w:t>
      </w:r>
    </w:p>
    <w:p w:rsidR="000C36EF" w:rsidRDefault="00DE1182" w:rsidP="00DE1182">
      <w:pPr>
        <w:pStyle w:val="Listenabsatz"/>
        <w:numPr>
          <w:ilvl w:val="2"/>
          <w:numId w:val="3"/>
        </w:numPr>
        <w:spacing w:after="0"/>
        <w:jc w:val="both"/>
      </w:pPr>
      <w:r>
        <w:t>i</w:t>
      </w:r>
      <w:r w:rsidR="00CA7B60">
        <w:t>nformation requested from workshop proposers;</w:t>
      </w:r>
    </w:p>
    <w:p w:rsidR="000C36EF" w:rsidRDefault="00DE1182" w:rsidP="00DE1182">
      <w:pPr>
        <w:pStyle w:val="Listenabsatz"/>
        <w:numPr>
          <w:ilvl w:val="2"/>
          <w:numId w:val="3"/>
        </w:numPr>
        <w:spacing w:after="0"/>
        <w:jc w:val="both"/>
      </w:pPr>
      <w:r>
        <w:t>p</w:t>
      </w:r>
      <w:r w:rsidR="00794FD2">
        <w:t>rocess descriptions</w:t>
      </w:r>
      <w:r w:rsidR="00CA7B60">
        <w:t>;</w:t>
      </w:r>
    </w:p>
    <w:p w:rsidR="000C36EF" w:rsidRDefault="00DE1182" w:rsidP="00DE1182">
      <w:pPr>
        <w:pStyle w:val="Listenabsatz"/>
        <w:numPr>
          <w:ilvl w:val="2"/>
          <w:numId w:val="3"/>
        </w:numPr>
        <w:spacing w:after="0"/>
        <w:jc w:val="both"/>
      </w:pPr>
      <w:r>
        <w:t>g</w:t>
      </w:r>
      <w:r w:rsidR="00794FD2">
        <w:t>uidelines and other reference materials f</w:t>
      </w:r>
      <w:r>
        <w:t>or workshop proposers</w:t>
      </w:r>
      <w:r w:rsidR="00794FD2">
        <w:t xml:space="preserve">; </w:t>
      </w:r>
    </w:p>
    <w:p w:rsidR="000C36EF" w:rsidRDefault="00DE1182" w:rsidP="00DE1182">
      <w:pPr>
        <w:pStyle w:val="Listenabsatz"/>
        <w:numPr>
          <w:ilvl w:val="2"/>
          <w:numId w:val="3"/>
        </w:numPr>
        <w:spacing w:after="0"/>
        <w:jc w:val="both"/>
      </w:pPr>
      <w:r>
        <w:t>t</w:t>
      </w:r>
      <w:r w:rsidR="00703548">
        <w:t>he workshop proposal submission fo</w:t>
      </w:r>
      <w:r w:rsidR="00A50CB1">
        <w:t>rm;</w:t>
      </w:r>
    </w:p>
    <w:p w:rsidR="00A50CB1" w:rsidRDefault="00A50CB1" w:rsidP="00DE1182">
      <w:pPr>
        <w:pStyle w:val="Listenabsatz"/>
        <w:numPr>
          <w:ilvl w:val="2"/>
          <w:numId w:val="3"/>
        </w:numPr>
        <w:spacing w:after="0"/>
        <w:jc w:val="both"/>
      </w:pPr>
      <w:proofErr w:type="gramStart"/>
      <w:r>
        <w:t>complimentary</w:t>
      </w:r>
      <w:proofErr w:type="gramEnd"/>
      <w:r>
        <w:t xml:space="preserve"> processes (e.g. calls for issues, development of theme narratives, etc.);</w:t>
      </w:r>
    </w:p>
    <w:p w:rsidR="00A50CB1" w:rsidRDefault="00A50CB1" w:rsidP="00DE1182">
      <w:pPr>
        <w:pStyle w:val="Listenabsatz"/>
        <w:numPr>
          <w:ilvl w:val="2"/>
          <w:numId w:val="3"/>
        </w:numPr>
        <w:spacing w:after="0"/>
        <w:jc w:val="both"/>
      </w:pPr>
      <w:r>
        <w:t>reporting requirements</w:t>
      </w:r>
    </w:p>
    <w:p w:rsidR="000C36EF" w:rsidRDefault="00703548" w:rsidP="00DE1182">
      <w:pPr>
        <w:pStyle w:val="Listenabsatz"/>
        <w:numPr>
          <w:ilvl w:val="1"/>
          <w:numId w:val="2"/>
        </w:numPr>
        <w:spacing w:after="0"/>
        <w:jc w:val="both"/>
      </w:pPr>
      <w:r>
        <w:t>the individual and in-person workshop evaluation process</w:t>
      </w:r>
    </w:p>
    <w:p w:rsidR="00CA7B60" w:rsidRDefault="00CA7B60" w:rsidP="00DE1182">
      <w:pPr>
        <w:pStyle w:val="Listenabsatz"/>
        <w:numPr>
          <w:ilvl w:val="2"/>
          <w:numId w:val="3"/>
        </w:numPr>
        <w:spacing w:after="0"/>
        <w:jc w:val="both"/>
      </w:pPr>
      <w:r>
        <w:t>Criteria against which workshop proposals will be assessed;</w:t>
      </w:r>
    </w:p>
    <w:p w:rsidR="00CA7B60" w:rsidRDefault="00CA7B60" w:rsidP="00DE1182">
      <w:pPr>
        <w:pStyle w:val="Listenabsatz"/>
        <w:numPr>
          <w:ilvl w:val="2"/>
          <w:numId w:val="3"/>
        </w:numPr>
        <w:spacing w:after="0"/>
        <w:jc w:val="both"/>
      </w:pPr>
      <w:r>
        <w:t>Criteria descriptions;</w:t>
      </w:r>
    </w:p>
    <w:p w:rsidR="00CA7B60" w:rsidRDefault="00CA7B60" w:rsidP="00DE1182">
      <w:pPr>
        <w:pStyle w:val="Listenabsatz"/>
        <w:numPr>
          <w:ilvl w:val="2"/>
          <w:numId w:val="2"/>
        </w:numPr>
        <w:spacing w:after="0"/>
        <w:jc w:val="both"/>
      </w:pPr>
      <w:r>
        <w:t>Scores and grades to be used in the evaluation process;</w:t>
      </w:r>
    </w:p>
    <w:p w:rsidR="00CA7B60" w:rsidRDefault="00CA7B60" w:rsidP="00DE1182">
      <w:pPr>
        <w:pStyle w:val="Listenabsatz"/>
        <w:numPr>
          <w:ilvl w:val="2"/>
          <w:numId w:val="2"/>
        </w:numPr>
        <w:spacing w:after="0"/>
        <w:jc w:val="both"/>
      </w:pPr>
      <w:r>
        <w:t>Weighting of the scores for criteria;</w:t>
      </w:r>
    </w:p>
    <w:p w:rsidR="00703548" w:rsidRDefault="00CA7B60" w:rsidP="00DE1182">
      <w:pPr>
        <w:pStyle w:val="Listenabsatz"/>
        <w:numPr>
          <w:ilvl w:val="2"/>
          <w:numId w:val="2"/>
        </w:numPr>
        <w:spacing w:after="0"/>
        <w:jc w:val="both"/>
      </w:pPr>
      <w:r>
        <w:t>Ranking of proposals</w:t>
      </w:r>
    </w:p>
    <w:p w:rsidR="000C36EF" w:rsidRDefault="00A50CB1" w:rsidP="00DE1182">
      <w:pPr>
        <w:pStyle w:val="Listenabsatz"/>
        <w:numPr>
          <w:ilvl w:val="1"/>
          <w:numId w:val="2"/>
        </w:numPr>
        <w:spacing w:after="0"/>
        <w:jc w:val="both"/>
      </w:pPr>
      <w:proofErr w:type="gramStart"/>
      <w:r>
        <w:t>w</w:t>
      </w:r>
      <w:r w:rsidR="00794FD2">
        <w:t>ork</w:t>
      </w:r>
      <w:r>
        <w:t>ing</w:t>
      </w:r>
      <w:proofErr w:type="gramEnd"/>
      <w:r w:rsidR="00703548">
        <w:t xml:space="preserve"> collaboratively with other MAG Working Groups as needed.</w:t>
      </w:r>
    </w:p>
    <w:p w:rsidR="00DE1182" w:rsidRDefault="00DE1182" w:rsidP="00DE1182">
      <w:pPr>
        <w:pStyle w:val="Listenabsatz"/>
        <w:numPr>
          <w:ilvl w:val="0"/>
          <w:numId w:val="2"/>
        </w:numPr>
        <w:spacing w:after="0"/>
        <w:jc w:val="both"/>
      </w:pPr>
      <w:r>
        <w:t>Should the WG from the preceding year produce a report, the WG-WSP should take the recommendations from that report into consideration.</w:t>
      </w:r>
    </w:p>
    <w:p w:rsidR="00703548" w:rsidRPr="00794FD2" w:rsidRDefault="00703548" w:rsidP="00DE1182">
      <w:pPr>
        <w:spacing w:after="0"/>
        <w:jc w:val="both"/>
      </w:pPr>
      <w:r>
        <w:t xml:space="preserve">  </w:t>
      </w:r>
    </w:p>
    <w:p w:rsidR="002A0208" w:rsidRPr="0070789E" w:rsidRDefault="002A0208" w:rsidP="00DE1182">
      <w:pPr>
        <w:pStyle w:val="Listenabsatz"/>
        <w:numPr>
          <w:ilvl w:val="0"/>
          <w:numId w:val="1"/>
        </w:numPr>
        <w:spacing w:after="0"/>
        <w:jc w:val="both"/>
        <w:rPr>
          <w:sz w:val="28"/>
        </w:rPr>
      </w:pPr>
      <w:r w:rsidRPr="002A0208">
        <w:rPr>
          <w:b/>
          <w:sz w:val="28"/>
        </w:rPr>
        <w:t>Activities</w:t>
      </w:r>
    </w:p>
    <w:p w:rsidR="0070789E" w:rsidRDefault="0070789E" w:rsidP="00DE1182">
      <w:pPr>
        <w:spacing w:after="0"/>
        <w:jc w:val="both"/>
      </w:pPr>
      <w:r>
        <w:t>The WG</w:t>
      </w:r>
      <w:r w:rsidR="00CA7B60">
        <w:t>-WSP</w:t>
      </w:r>
      <w:r>
        <w:t xml:space="preserve"> will conduct its business in the manner it considers most appropriate and effective.  Recordings of calls, transcripts, and/or minutes – if provided – and documents produced by the group will be archived and available to the public.</w:t>
      </w:r>
    </w:p>
    <w:p w:rsidR="0070789E" w:rsidRPr="0070789E" w:rsidRDefault="0070789E" w:rsidP="00DE1182">
      <w:pPr>
        <w:spacing w:after="0"/>
        <w:jc w:val="both"/>
      </w:pPr>
    </w:p>
    <w:p w:rsidR="0070789E" w:rsidRPr="0070789E" w:rsidRDefault="0070789E" w:rsidP="00DE1182">
      <w:pPr>
        <w:pStyle w:val="Listenabsatz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sz w:val="28"/>
        </w:rPr>
        <w:t>Composition of the WG</w:t>
      </w:r>
      <w:r w:rsidR="00CA7B60">
        <w:rPr>
          <w:b/>
          <w:sz w:val="28"/>
        </w:rPr>
        <w:t>-WSP</w:t>
      </w:r>
    </w:p>
    <w:p w:rsidR="0070789E" w:rsidRPr="0070789E" w:rsidRDefault="0070789E" w:rsidP="00DE1182">
      <w:pPr>
        <w:spacing w:after="0"/>
        <w:jc w:val="both"/>
      </w:pPr>
      <w:commentRangeStart w:id="0"/>
      <w:r>
        <w:t>Participation in the W</w:t>
      </w:r>
      <w:r w:rsidR="00CA7B60">
        <w:t>G</w:t>
      </w:r>
      <w:r>
        <w:t>-W</w:t>
      </w:r>
      <w:r w:rsidR="00CA7B60">
        <w:t>SP</w:t>
      </w:r>
      <w:r>
        <w:t xml:space="preserve"> is open to [current and past] MAG members [as well as the general public].  </w:t>
      </w:r>
      <w:r w:rsidR="00ED2C85">
        <w:t xml:space="preserve"> </w:t>
      </w:r>
      <w:commentRangeEnd w:id="0"/>
      <w:r w:rsidR="00FB204E">
        <w:rPr>
          <w:rStyle w:val="Kommentarzeichen"/>
          <w:vanish/>
        </w:rPr>
        <w:commentReference w:id="0"/>
      </w:r>
      <w:proofErr w:type="gramStart"/>
      <w:r>
        <w:t>Leadership of the W</w:t>
      </w:r>
      <w:r w:rsidR="00CA7B60">
        <w:t>G</w:t>
      </w:r>
      <w:r>
        <w:t>-W</w:t>
      </w:r>
      <w:r w:rsidR="00CA7B60">
        <w:t>SP</w:t>
      </w:r>
      <w:r>
        <w:t xml:space="preserve"> may be decided by members of the group or the MAG Chair</w:t>
      </w:r>
      <w:proofErr w:type="gramEnd"/>
      <w:r>
        <w:t>.</w:t>
      </w:r>
    </w:p>
    <w:p w:rsidR="0070789E" w:rsidRPr="0070789E" w:rsidRDefault="0070789E" w:rsidP="00DE1182">
      <w:pPr>
        <w:spacing w:after="0"/>
        <w:jc w:val="both"/>
        <w:rPr>
          <w:sz w:val="28"/>
        </w:rPr>
      </w:pPr>
    </w:p>
    <w:p w:rsidR="0070789E" w:rsidRPr="0070789E" w:rsidRDefault="0070789E" w:rsidP="00DE1182">
      <w:pPr>
        <w:pStyle w:val="Listenabsatz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sz w:val="28"/>
        </w:rPr>
        <w:t>Duration</w:t>
      </w:r>
    </w:p>
    <w:p w:rsidR="0070789E" w:rsidRPr="0070789E" w:rsidRDefault="00DE1182" w:rsidP="00DE1182">
      <w:pPr>
        <w:spacing w:after="0"/>
        <w:jc w:val="both"/>
      </w:pPr>
      <w:r>
        <w:t>Unless the MAG decides otherwise, t</w:t>
      </w:r>
      <w:r w:rsidR="0070789E">
        <w:t>he W</w:t>
      </w:r>
      <w:r w:rsidR="00CA7B60">
        <w:t>G</w:t>
      </w:r>
      <w:r w:rsidR="0070789E">
        <w:t>-W</w:t>
      </w:r>
      <w:r w:rsidR="00CA7B60">
        <w:t>SP</w:t>
      </w:r>
      <w:r w:rsidR="0070789E">
        <w:t xml:space="preserve"> will be re-charted each year, for the balance of the IGF’s </w:t>
      </w:r>
      <w:r w:rsidR="008909B2">
        <w:t xml:space="preserve">current </w:t>
      </w:r>
      <w:r w:rsidR="0070789E">
        <w:t>mandate.</w:t>
      </w:r>
      <w:r w:rsidR="008909B2">
        <w:rPr>
          <w:rStyle w:val="Funotenzeichen"/>
        </w:rPr>
        <w:footnoteReference w:id="3"/>
      </w:r>
    </w:p>
    <w:p w:rsidR="0070789E" w:rsidRPr="0070789E" w:rsidRDefault="0070789E" w:rsidP="00DE1182">
      <w:pPr>
        <w:spacing w:after="0"/>
        <w:jc w:val="both"/>
      </w:pPr>
    </w:p>
    <w:sectPr w:rsidR="0070789E" w:rsidRPr="0070789E" w:rsidSect="00327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gutter="0"/>
      <w:docGrid w:linePitch="360"/>
    </w:sectPr>
  </w:body>
</w:document>
</file>

<file path=word/comments.xml><?xml version="1.0" encoding="utf-8"?>
<w:comment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comment w:id="0" w:author="Jutta Croll" w:date="2019-02-27T10:50:00Z" w:initials="JC">
    <w:p w:rsidR="00FB204E" w:rsidRDefault="00FB204E">
      <w:pPr>
        <w:pStyle w:val="Kommentartext"/>
      </w:pPr>
      <w:r>
        <w:rPr>
          <w:rStyle w:val="Kommentarzeichen"/>
        </w:rPr>
        <w:annotationRef/>
      </w:r>
      <w:r>
        <w:t xml:space="preserve">According to the MAG chair its up to the WG to define rules on the openness of the WG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804842" w15:done="0"/>
  <w15:commentEx w15:paraId="1160F9E6" w15:paraIdParent="61804842" w15:done="0"/>
</w15:commentsEx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A7B60" w:rsidRDefault="00CA7B60" w:rsidP="00701DAD">
      <w:pPr>
        <w:spacing w:after="0" w:line="240" w:lineRule="auto"/>
      </w:pPr>
      <w:r>
        <w:separator/>
      </w:r>
    </w:p>
  </w:endnote>
  <w:endnote w:type="continuationSeparator" w:id="1">
    <w:p w:rsidR="00CA7B60" w:rsidRDefault="00CA7B60" w:rsidP="007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7B60" w:rsidRDefault="00CA7B60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7B60" w:rsidRDefault="00CA7B60">
    <w:pPr>
      <w:pStyle w:val="Fuzeil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7B60" w:rsidRDefault="00CA7B60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A7B60" w:rsidRDefault="00CA7B60" w:rsidP="00701DAD">
      <w:pPr>
        <w:spacing w:after="0" w:line="240" w:lineRule="auto"/>
      </w:pPr>
      <w:r>
        <w:separator/>
      </w:r>
    </w:p>
  </w:footnote>
  <w:footnote w:type="continuationSeparator" w:id="1">
    <w:p w:rsidR="00CA7B60" w:rsidRDefault="00CA7B60" w:rsidP="00701DAD">
      <w:pPr>
        <w:spacing w:after="0" w:line="240" w:lineRule="auto"/>
      </w:pPr>
      <w:r>
        <w:continuationSeparator/>
      </w:r>
    </w:p>
  </w:footnote>
  <w:footnote w:id="2">
    <w:p w:rsidR="00ED2C85" w:rsidRPr="00ED2C85" w:rsidRDefault="00ED2C85">
      <w:pPr>
        <w:pStyle w:val="Funotentext"/>
        <w:rPr>
          <w:rFonts w:ascii="Calibri" w:hAnsi="Calibri" w:cs="Times New Roman"/>
        </w:rPr>
      </w:pPr>
      <w:r w:rsidRPr="00ED2C85">
        <w:rPr>
          <w:rStyle w:val="Funotenzeichen"/>
          <w:rFonts w:ascii="Calibri" w:hAnsi="Calibri" w:cs="Times New Roman"/>
        </w:rPr>
        <w:footnoteRef/>
      </w:r>
      <w:r w:rsidRPr="00ED2C85">
        <w:rPr>
          <w:rFonts w:ascii="Calibri" w:hAnsi="Calibri" w:cs="Times New Roman"/>
        </w:rPr>
        <w:t xml:space="preserve"> Email list archives are available here: </w:t>
      </w:r>
      <w:hyperlink r:id="rId1" w:history="1">
        <w:r w:rsidRPr="00ED2C85">
          <w:rPr>
            <w:rStyle w:val="Link"/>
            <w:rFonts w:ascii="Calibri" w:hAnsi="Calibri" w:cs="Times New Roman"/>
          </w:rPr>
          <w:t>http://intgovforum.org/pipermail/ws_selection_2015_intgovforum.org/</w:t>
        </w:r>
      </w:hyperlink>
      <w:r w:rsidRPr="00ED2C85">
        <w:rPr>
          <w:rFonts w:ascii="Calibri" w:hAnsi="Calibri" w:cs="Times New Roman"/>
        </w:rPr>
        <w:t xml:space="preserve">; and here: </w:t>
      </w:r>
      <w:hyperlink r:id="rId2" w:history="1">
        <w:r w:rsidRPr="00ED2C85">
          <w:rPr>
            <w:rStyle w:val="Link"/>
            <w:rFonts w:ascii="Calibri" w:hAnsi="Calibri" w:cs="Times New Roman"/>
          </w:rPr>
          <w:t>http://intgovforum.org/pipermail/wgwseval_intgovforum.org/</w:t>
        </w:r>
      </w:hyperlink>
      <w:proofErr w:type="gramStart"/>
      <w:r w:rsidRPr="00ED2C85">
        <w:rPr>
          <w:rFonts w:ascii="Calibri" w:hAnsi="Calibri" w:cs="Times New Roman"/>
        </w:rPr>
        <w:t xml:space="preserve"> .</w:t>
      </w:r>
      <w:proofErr w:type="gramEnd"/>
    </w:p>
  </w:footnote>
  <w:footnote w:id="3">
    <w:p w:rsidR="008909B2" w:rsidRPr="008909B2" w:rsidRDefault="008909B2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 The </w:t>
      </w:r>
      <w:proofErr w:type="spellStart"/>
      <w:r>
        <w:t>IGF’s</w:t>
      </w:r>
      <w:proofErr w:type="spellEnd"/>
      <w:r>
        <w:t xml:space="preserve"> mandate was renewed for another 10 years in the resolution adopted by the General Assembly on 16 </w:t>
      </w:r>
      <w:proofErr w:type="spellStart"/>
      <w:r>
        <w:t>Deember</w:t>
      </w:r>
      <w:proofErr w:type="spellEnd"/>
      <w:r>
        <w:t xml:space="preserve"> 2015, </w:t>
      </w:r>
      <w:r>
        <w:rPr>
          <w:i/>
        </w:rPr>
        <w:t xml:space="preserve">Outcome document of the high-level meeting of the General Assembly on the overall review of the implementation of the outcomes of the World Summit on the Information Society, A/Res/70/125, </w:t>
      </w:r>
      <w:r>
        <w:t xml:space="preserve">para 63, </w:t>
      </w:r>
      <w:r>
        <w:rPr>
          <w:i/>
        </w:rPr>
        <w:t xml:space="preserve">available at </w:t>
      </w:r>
      <w:hyperlink r:id="rId3" w:history="1">
        <w:r w:rsidRPr="008909B2">
          <w:rPr>
            <w:rStyle w:val="Link"/>
          </w:rPr>
          <w:t>http://www.un.org/en/ga/search/view_doc.asp?symbol=A/RES/70/125</w:t>
        </w:r>
      </w:hyperlink>
      <w:r w:rsidRPr="008909B2">
        <w:t>.</w:t>
      </w:r>
      <w:r>
        <w:rPr>
          <w:i/>
        </w:rPr>
        <w:t xml:space="preserve"> </w:t>
      </w:r>
      <w:bookmarkStart w:id="1" w:name="_GoBack"/>
      <w:bookmarkEnd w:id="1"/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7B60" w:rsidRDefault="00CA7B60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1696997306"/>
      <w:docPartObj>
        <w:docPartGallery w:val="Watermarks"/>
        <w:docPartUnique/>
      </w:docPartObj>
    </w:sdtPr>
    <w:sdtContent>
      <w:p w:rsidR="00CA7B60" w:rsidRDefault="004625A3">
        <w:pPr>
          <w:pStyle w:val="Kopfzeile"/>
        </w:pPr>
        <w:r w:rsidRPr="004625A3"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A7B60" w:rsidRDefault="00CA7B60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8E6BBD"/>
    <w:multiLevelType w:val="hybridMultilevel"/>
    <w:tmpl w:val="E40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1450"/>
    <w:multiLevelType w:val="hybridMultilevel"/>
    <w:tmpl w:val="E40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6F57"/>
    <w:multiLevelType w:val="hybridMultilevel"/>
    <w:tmpl w:val="59580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IA">
    <w15:presenceInfo w15:providerId="None" w15:userId="NT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0208"/>
    <w:rsid w:val="000C36EF"/>
    <w:rsid w:val="002A0208"/>
    <w:rsid w:val="002F36A9"/>
    <w:rsid w:val="0032761D"/>
    <w:rsid w:val="004625A3"/>
    <w:rsid w:val="00701DAD"/>
    <w:rsid w:val="00703548"/>
    <w:rsid w:val="0070789E"/>
    <w:rsid w:val="00794FD2"/>
    <w:rsid w:val="008909B2"/>
    <w:rsid w:val="00A50CB1"/>
    <w:rsid w:val="00C95462"/>
    <w:rsid w:val="00CA18E0"/>
    <w:rsid w:val="00CA7B60"/>
    <w:rsid w:val="00DE1182"/>
    <w:rsid w:val="00ED2C85"/>
    <w:rsid w:val="00FB204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61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A020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01DAD"/>
  </w:style>
  <w:style w:type="paragraph" w:styleId="Fuzeile">
    <w:name w:val="footer"/>
    <w:basedOn w:val="Standard"/>
    <w:link w:val="FuzeileZeichen"/>
    <w:uiPriority w:val="99"/>
    <w:unhideWhenUsed/>
    <w:rsid w:val="007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01DA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7B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7B60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A7B6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A7B60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A7B6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A7B6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A7B60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ED2C85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ED2C85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ED2C85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ED2C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govforum.org/pipermail/ws_selection_2015_intgovforum.org/" TargetMode="External"/><Relationship Id="rId2" Type="http://schemas.openxmlformats.org/officeDocument/2006/relationships/hyperlink" Target="http://intgovforum.org/pipermail/wgwseval_intgovforum.org/" TargetMode="External"/><Relationship Id="rId3" Type="http://schemas.openxmlformats.org/officeDocument/2006/relationships/hyperlink" Target="http://www.un.org/en/ga/search/view_doc.asp?symbol=A/RES/70/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12AA-BF55-4751-BDC5-138618F0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NTIA</dc:creator>
  <cp:keywords/>
  <dc:description/>
  <cp:lastModifiedBy>Jutta Croll</cp:lastModifiedBy>
  <cp:revision>2</cp:revision>
  <dcterms:created xsi:type="dcterms:W3CDTF">2019-02-27T09:50:00Z</dcterms:created>
  <dcterms:modified xsi:type="dcterms:W3CDTF">2019-02-27T09:50:00Z</dcterms:modified>
</cp:coreProperties>
</file>